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5EBD58EE"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FD0495" w:rsidRPr="00FD0495">
        <w:rPr>
          <w:rFonts w:ascii="Arial" w:hAnsi="Arial" w:cs="Arial"/>
          <w:sz w:val="22"/>
        </w:rPr>
        <w:t>R2-1906616</w:t>
      </w:r>
    </w:p>
    <w:bookmarkEnd w:id="0"/>
    <w:p w14:paraId="4CAA2919" w14:textId="2FCD693A" w:rsidR="00387975" w:rsidRPr="0000261A" w:rsidRDefault="00387975" w:rsidP="00387975">
      <w:pPr>
        <w:pStyle w:val="3GPPHeader"/>
        <w:spacing w:after="0"/>
        <w:rPr>
          <w:rFonts w:ascii="Arial" w:hAnsi="Arial" w:cs="Arial"/>
          <w:sz w:val="22"/>
        </w:rPr>
      </w:pPr>
      <w:r w:rsidRPr="0000261A">
        <w:rPr>
          <w:rFonts w:ascii="Arial" w:hAnsi="Arial" w:cs="Arial"/>
          <w:sz w:val="22"/>
        </w:rPr>
        <w:t>Reno, USA, 13 - 17 May 2019</w:t>
      </w:r>
      <w:r w:rsidR="0000261A" w:rsidRPr="0000261A">
        <w:rPr>
          <w:rFonts w:ascii="Arial" w:hAnsi="Arial" w:cs="Arial"/>
          <w:sz w:val="22"/>
        </w:rPr>
        <w:tab/>
        <w:t xml:space="preserve">Revision of </w:t>
      </w:r>
      <w:hyperlink r:id="rId7" w:history="1">
        <w:r w:rsidR="0000261A" w:rsidRPr="0000261A">
          <w:rPr>
            <w:rStyle w:val="Hyperlink"/>
            <w:rFonts w:ascii="Arial" w:hAnsi="Arial" w:cs="Arial"/>
            <w:sz w:val="22"/>
            <w:u w:val="none"/>
          </w:rPr>
          <w:t>R2-1904146</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4891FF76" w14:textId="77777777" w:rsidR="00343843" w:rsidRPr="00521BFD" w:rsidRDefault="00343843" w:rsidP="00343843">
      <w:pPr>
        <w:pStyle w:val="3GPPHeader"/>
        <w:spacing w:after="120"/>
        <w:rPr>
          <w:rFonts w:ascii="Arial" w:hAnsi="Arial" w:cs="Arial"/>
          <w:b w:val="0"/>
          <w:sz w:val="22"/>
        </w:rPr>
      </w:pPr>
      <w:r w:rsidRPr="00B774D3">
        <w:rPr>
          <w:rFonts w:ascii="Arial" w:hAnsi="Arial" w:cs="Arial"/>
          <w:sz w:val="22"/>
        </w:rPr>
        <w:t>Agenda Item:</w:t>
      </w:r>
      <w:r w:rsidRPr="00B774D3">
        <w:rPr>
          <w:rFonts w:ascii="Arial" w:hAnsi="Arial" w:cs="Arial"/>
          <w:sz w:val="22"/>
        </w:rPr>
        <w:tab/>
      </w:r>
      <w:r w:rsidRPr="00B774D3">
        <w:rPr>
          <w:rFonts w:ascii="Arial" w:hAnsi="Arial" w:cs="Arial"/>
          <w:b w:val="0"/>
          <w:sz w:val="22"/>
          <w:lang w:val="en-US"/>
        </w:rPr>
        <w:t>11.11.4.4 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7A70B1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E6F07" w:rsidRPr="005E6F07">
        <w:rPr>
          <w:rFonts w:ascii="Arial" w:hAnsi="Arial" w:cs="Arial"/>
          <w:b w:val="0"/>
          <w:bCs/>
          <w:sz w:val="22"/>
          <w:lang w:val="en-US"/>
        </w:rPr>
        <w:t>UE assistance information for cDRX</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3D9C2FB" w:rsidR="00120D47" w:rsidRDefault="004D10CC" w:rsidP="00120D47">
      <w:pPr>
        <w:pStyle w:val="Heading1"/>
      </w:pPr>
      <w:r>
        <w:t>Introduction</w:t>
      </w:r>
    </w:p>
    <w:p w14:paraId="2419C80A" w14:textId="30EA77CA" w:rsidR="00F756F6" w:rsidRDefault="00C976BF" w:rsidP="00F756F6">
      <w:pPr>
        <w:rPr>
          <w:lang w:val="en-GB" w:eastAsia="zh-CN"/>
        </w:rPr>
      </w:pPr>
      <w:r>
        <w:rPr>
          <w:lang w:val="en-GB" w:eastAsia="zh-CN"/>
        </w:rPr>
        <w:t>In the context of other connected mode power saving enhancements</w:t>
      </w:r>
      <w:r w:rsidR="005332CE">
        <w:rPr>
          <w:lang w:val="en-GB" w:eastAsia="zh-CN"/>
        </w:rPr>
        <w:t xml:space="preserve"> RAN2 discussed </w:t>
      </w:r>
      <w:r w:rsidR="00336783">
        <w:rPr>
          <w:lang w:val="en-GB" w:eastAsia="zh-CN"/>
        </w:rPr>
        <w:t>potential enhancements that include UE assistance information signalling</w:t>
      </w:r>
      <w:r w:rsidR="008D0E5A">
        <w:rPr>
          <w:lang w:val="en-GB" w:eastAsia="zh-CN"/>
        </w:rPr>
        <w:t xml:space="preserve"> [1, 2]</w:t>
      </w:r>
      <w:r w:rsidR="00CD3581">
        <w:rPr>
          <w:lang w:val="en-GB" w:eastAsia="zh-CN"/>
        </w:rPr>
        <w:t>. RAN2 agreed:</w:t>
      </w:r>
    </w:p>
    <w:p w14:paraId="15BDAE7A" w14:textId="77777777" w:rsidR="000C7BDD" w:rsidRPr="000E0E68" w:rsidRDefault="000C7BDD" w:rsidP="000C7BDD">
      <w:pPr>
        <w:pStyle w:val="Doc-text2"/>
        <w:spacing w:after="200"/>
        <w:rPr>
          <w:rFonts w:ascii="Times New Roman" w:hAnsi="Times New Roman"/>
          <w:color w:val="C45911" w:themeColor="accent2" w:themeShade="BF"/>
          <w:sz w:val="18"/>
          <w:szCs w:val="18"/>
        </w:rPr>
      </w:pPr>
      <w:r w:rsidRPr="000E0E68">
        <w:rPr>
          <w:rFonts w:ascii="Times New Roman" w:hAnsi="Times New Roman"/>
          <w:color w:val="C45911" w:themeColor="accent2" w:themeShade="BF"/>
          <w:sz w:val="18"/>
          <w:szCs w:val="18"/>
        </w:rPr>
        <w:t>=&gt;</w:t>
      </w:r>
      <w:r w:rsidRPr="000E0E68">
        <w:rPr>
          <w:rFonts w:ascii="Times New Roman" w:hAnsi="Times New Roman"/>
          <w:color w:val="C45911" w:themeColor="accent2" w:themeShade="BF"/>
          <w:sz w:val="18"/>
          <w:szCs w:val="18"/>
        </w:rPr>
        <w:tab/>
        <w:t>UE assistance for DRX configuration will be studied</w:t>
      </w:r>
    </w:p>
    <w:p w14:paraId="2E025CD9" w14:textId="25E172F2" w:rsidR="00CD3581" w:rsidRDefault="00111B90" w:rsidP="00F756F6">
      <w:pPr>
        <w:rPr>
          <w:lang w:val="en-GB" w:eastAsia="zh-CN"/>
        </w:rPr>
      </w:pPr>
      <w:r>
        <w:rPr>
          <w:lang w:val="en-GB" w:eastAsia="zh-CN"/>
        </w:rPr>
        <w:t xml:space="preserve">Furthermore RAN2 agreed to have an email discussion </w:t>
      </w:r>
      <w:r w:rsidR="00433D8F">
        <w:rPr>
          <w:lang w:val="en-GB" w:eastAsia="zh-CN"/>
        </w:rPr>
        <w:t>about UE assistance information, that is not ne</w:t>
      </w:r>
      <w:r w:rsidR="003A7362">
        <w:rPr>
          <w:lang w:val="en-GB" w:eastAsia="zh-CN"/>
        </w:rPr>
        <w:t>cessarily limited to cDRX:</w:t>
      </w:r>
    </w:p>
    <w:p w14:paraId="5FDAC369" w14:textId="77777777" w:rsidR="00D311AD" w:rsidRPr="000E0E68" w:rsidRDefault="006A3A1C" w:rsidP="000E0E68">
      <w:pPr>
        <w:spacing w:after="0"/>
        <w:ind w:left="720"/>
        <w:rPr>
          <w:rFonts w:ascii="Times New Roman" w:hAnsi="Times New Roman"/>
          <w:color w:val="C45911" w:themeColor="accent2" w:themeShade="BF"/>
          <w:sz w:val="18"/>
          <w:szCs w:val="18"/>
          <w:lang w:val="en-GB" w:eastAsia="zh-CN"/>
        </w:rPr>
      </w:pPr>
      <w:r w:rsidRPr="000E0E68">
        <w:rPr>
          <w:rFonts w:ascii="Times New Roman" w:hAnsi="Times New Roman"/>
          <w:b/>
          <w:bCs/>
          <w:color w:val="C45911" w:themeColor="accent2" w:themeShade="BF"/>
          <w:sz w:val="18"/>
          <w:szCs w:val="18"/>
          <w:lang w:eastAsia="zh-CN"/>
        </w:rPr>
        <w:t>[105bis#</w:t>
      </w:r>
      <w:proofErr w:type="gramStart"/>
      <w:r w:rsidRPr="000E0E68">
        <w:rPr>
          <w:rFonts w:ascii="Times New Roman" w:hAnsi="Times New Roman"/>
          <w:b/>
          <w:bCs/>
          <w:color w:val="C45911" w:themeColor="accent2" w:themeShade="BF"/>
          <w:sz w:val="18"/>
          <w:szCs w:val="18"/>
          <w:lang w:eastAsia="zh-CN"/>
        </w:rPr>
        <w:t>28][</w:t>
      </w:r>
      <w:proofErr w:type="gramEnd"/>
      <w:r w:rsidRPr="000E0E68">
        <w:rPr>
          <w:rFonts w:ascii="Times New Roman" w:hAnsi="Times New Roman"/>
          <w:b/>
          <w:bCs/>
          <w:color w:val="C45911" w:themeColor="accent2" w:themeShade="BF"/>
          <w:sz w:val="18"/>
          <w:szCs w:val="18"/>
          <w:lang w:eastAsia="zh-CN"/>
        </w:rPr>
        <w:t>NR/Power Savings] – UE assistance (Intel)</w:t>
      </w:r>
    </w:p>
    <w:p w14:paraId="668774C6" w14:textId="77777777" w:rsidR="00D311AD" w:rsidRPr="000E0E68" w:rsidRDefault="006A3A1C" w:rsidP="000E0E68">
      <w:pPr>
        <w:numPr>
          <w:ilvl w:val="1"/>
          <w:numId w:val="42"/>
        </w:numPr>
        <w:spacing w:after="0"/>
        <w:rPr>
          <w:rFonts w:ascii="Times New Roman" w:hAnsi="Times New Roman"/>
          <w:color w:val="C45911" w:themeColor="accent2" w:themeShade="BF"/>
          <w:sz w:val="18"/>
          <w:szCs w:val="18"/>
          <w:lang w:val="en-GB" w:eastAsia="zh-CN"/>
        </w:rPr>
      </w:pPr>
      <w:r w:rsidRPr="000E0E68">
        <w:rPr>
          <w:rFonts w:ascii="Times New Roman" w:hAnsi="Times New Roman"/>
          <w:color w:val="C45911" w:themeColor="accent2" w:themeShade="BF"/>
          <w:sz w:val="18"/>
          <w:szCs w:val="18"/>
          <w:lang w:eastAsia="zh-CN"/>
        </w:rPr>
        <w:t xml:space="preserve">Capture a list of proposed UE assistance information and need for the UE assistance information </w:t>
      </w:r>
    </w:p>
    <w:p w14:paraId="7597C3C4" w14:textId="77777777" w:rsidR="00D311AD" w:rsidRPr="000E0E68" w:rsidRDefault="006A3A1C" w:rsidP="000E0E68">
      <w:pPr>
        <w:numPr>
          <w:ilvl w:val="1"/>
          <w:numId w:val="42"/>
        </w:numPr>
        <w:spacing w:after="0"/>
        <w:rPr>
          <w:rFonts w:ascii="Times New Roman" w:hAnsi="Times New Roman"/>
          <w:color w:val="C45911" w:themeColor="accent2" w:themeShade="BF"/>
          <w:sz w:val="18"/>
          <w:szCs w:val="18"/>
          <w:lang w:val="en-GB" w:eastAsia="zh-CN"/>
        </w:rPr>
      </w:pPr>
      <w:r w:rsidRPr="000E0E68">
        <w:rPr>
          <w:rFonts w:ascii="Times New Roman" w:hAnsi="Times New Roman"/>
          <w:color w:val="C45911" w:themeColor="accent2" w:themeShade="BF"/>
          <w:sz w:val="18"/>
          <w:szCs w:val="18"/>
          <w:lang w:eastAsia="zh-CN"/>
        </w:rPr>
        <w:t>Intended outcome: Set of acceptable proposals and TP</w:t>
      </w:r>
    </w:p>
    <w:p w14:paraId="5A3E2F5C" w14:textId="77777777" w:rsidR="00D311AD" w:rsidRPr="000E0E68" w:rsidRDefault="006A3A1C" w:rsidP="000E0E68">
      <w:pPr>
        <w:numPr>
          <w:ilvl w:val="1"/>
          <w:numId w:val="42"/>
        </w:numPr>
        <w:rPr>
          <w:rFonts w:ascii="Times New Roman" w:hAnsi="Times New Roman"/>
          <w:color w:val="C45911" w:themeColor="accent2" w:themeShade="BF"/>
          <w:sz w:val="18"/>
          <w:szCs w:val="18"/>
          <w:lang w:val="en-GB" w:eastAsia="zh-CN"/>
        </w:rPr>
      </w:pPr>
      <w:r w:rsidRPr="000E0E68">
        <w:rPr>
          <w:rFonts w:ascii="Times New Roman" w:hAnsi="Times New Roman"/>
          <w:color w:val="C45911" w:themeColor="accent2" w:themeShade="BF"/>
          <w:sz w:val="18"/>
          <w:szCs w:val="18"/>
          <w:lang w:eastAsia="zh-CN"/>
        </w:rPr>
        <w:t>Deadline: Thursday 2019-05-02</w:t>
      </w:r>
    </w:p>
    <w:p w14:paraId="780B9618" w14:textId="4554A77F" w:rsidR="008E0B00" w:rsidRDefault="003A7362" w:rsidP="008E0B00">
      <w:pPr>
        <w:rPr>
          <w:highlight w:val="yellow"/>
          <w:lang w:val="en-GB" w:eastAsia="zh-CN"/>
        </w:rPr>
      </w:pPr>
      <w:r>
        <w:rPr>
          <w:lang w:val="en-GB" w:eastAsia="zh-CN"/>
        </w:rPr>
        <w:t xml:space="preserve">In this contribution UE assistance signalling </w:t>
      </w:r>
      <w:r w:rsidR="0000261A">
        <w:rPr>
          <w:lang w:val="en-GB" w:eastAsia="zh-CN"/>
        </w:rPr>
        <w:t xml:space="preserve">for cDRX is discussed further. </w:t>
      </w:r>
    </w:p>
    <w:p w14:paraId="1DEB3AB7" w14:textId="77777777" w:rsidR="00FA27C0" w:rsidRDefault="009D725A" w:rsidP="00FA27C0">
      <w:pPr>
        <w:pStyle w:val="Heading1"/>
      </w:pPr>
      <w:bookmarkStart w:id="1" w:name="_Toc242573354"/>
      <w:r>
        <w:t>Discussion</w:t>
      </w:r>
      <w:bookmarkEnd w:id="1"/>
    </w:p>
    <w:p w14:paraId="7A846E7A" w14:textId="3D1F7293" w:rsidR="006A3A1C" w:rsidRDefault="006A3A1C" w:rsidP="006A3A1C">
      <w:pPr>
        <w:rPr>
          <w:lang w:val="en-GB" w:eastAsia="zh-CN"/>
        </w:rPr>
      </w:pPr>
      <w:r>
        <w:rPr>
          <w:lang w:val="en-GB" w:eastAsia="zh-CN"/>
        </w:rPr>
        <w:t xml:space="preserve">An optimal cDRX configuration depends on the traffic type </w:t>
      </w:r>
      <w:r w:rsidR="00F95DF0">
        <w:rPr>
          <w:lang w:val="en-GB" w:eastAsia="zh-CN"/>
        </w:rPr>
        <w:t>where</w:t>
      </w:r>
      <w:r>
        <w:rPr>
          <w:lang w:val="en-GB" w:eastAsia="zh-CN"/>
        </w:rPr>
        <w:t xml:space="preserve"> the following two cDRX parameters are considered critical:</w:t>
      </w:r>
    </w:p>
    <w:p w14:paraId="458F4365" w14:textId="77777777" w:rsidR="006A3A1C" w:rsidRDefault="006A3A1C" w:rsidP="006A3A1C">
      <w:pPr>
        <w:pStyle w:val="ListParagraph"/>
        <w:numPr>
          <w:ilvl w:val="0"/>
          <w:numId w:val="44"/>
        </w:numPr>
        <w:rPr>
          <w:lang w:val="en-GB" w:eastAsia="zh-CN"/>
        </w:rPr>
      </w:pPr>
      <w:r w:rsidRPr="009F2F0B">
        <w:rPr>
          <w:b/>
          <w:lang w:val="en-GB" w:eastAsia="zh-CN"/>
        </w:rPr>
        <w:t>cDRX cycle length</w:t>
      </w:r>
      <w:r>
        <w:rPr>
          <w:lang w:val="en-GB" w:eastAsia="zh-CN"/>
        </w:rPr>
        <w:t>: dependent on tolerated latency</w:t>
      </w:r>
    </w:p>
    <w:p w14:paraId="241943F3" w14:textId="77777777" w:rsidR="006A3A1C" w:rsidRPr="00B47B2A" w:rsidRDefault="006A3A1C" w:rsidP="006A3A1C">
      <w:pPr>
        <w:pStyle w:val="ListParagraph"/>
        <w:numPr>
          <w:ilvl w:val="0"/>
          <w:numId w:val="44"/>
        </w:numPr>
        <w:rPr>
          <w:lang w:val="en-GB" w:eastAsia="zh-CN"/>
        </w:rPr>
      </w:pPr>
      <w:r w:rsidRPr="009F2F0B">
        <w:rPr>
          <w:b/>
          <w:lang w:val="en-GB" w:eastAsia="zh-CN"/>
        </w:rPr>
        <w:t>cDR</w:t>
      </w:r>
      <w:r>
        <w:rPr>
          <w:b/>
          <w:lang w:val="en-GB" w:eastAsia="zh-CN"/>
        </w:rPr>
        <w:t>X</w:t>
      </w:r>
      <w:r w:rsidRPr="009F2F0B">
        <w:rPr>
          <w:b/>
          <w:lang w:val="en-GB" w:eastAsia="zh-CN"/>
        </w:rPr>
        <w:t xml:space="preserve"> inactivity timer</w:t>
      </w:r>
      <w:r>
        <w:rPr>
          <w:lang w:val="en-GB" w:eastAsia="zh-CN"/>
        </w:rPr>
        <w:t>: dependent on inter traffic-burst distribution</w:t>
      </w:r>
    </w:p>
    <w:p w14:paraId="785074FA" w14:textId="77777777" w:rsidR="006A3A1C" w:rsidRPr="008C4737" w:rsidRDefault="006A3A1C" w:rsidP="006A3A1C">
      <w:pPr>
        <w:rPr>
          <w:lang w:val="en-GB" w:eastAsia="zh-CN"/>
        </w:rPr>
      </w:pPr>
      <w:r>
        <w:rPr>
          <w:lang w:val="en-GB" w:eastAsia="zh-CN"/>
        </w:rPr>
        <w:t xml:space="preserve">An optimal cDRX configuration depends on the traffic pattern, which in turn is mainly determined by the application(s) running on top. A longer cDRX cycle length is more power efficient, but many applications may not tolerate a </w:t>
      </w:r>
      <w:proofErr w:type="spellStart"/>
      <w:r w:rsidRPr="00250A79">
        <w:rPr>
          <w:i/>
        </w:rPr>
        <w:t>Long</w:t>
      </w:r>
      <w:r>
        <w:rPr>
          <w:i/>
        </w:rPr>
        <w:t>DRX</w:t>
      </w:r>
      <w:r w:rsidRPr="00250A79">
        <w:rPr>
          <w:i/>
        </w:rPr>
        <w:t>Cycle</w:t>
      </w:r>
      <w:proofErr w:type="spellEnd"/>
      <w:r>
        <w:t xml:space="preserve"> up to 10 seconds. Example of applications with increasing tighter delay requirements: </w:t>
      </w:r>
    </w:p>
    <w:p w14:paraId="41A48166" w14:textId="77777777" w:rsidR="006A3A1C" w:rsidRDefault="006A3A1C" w:rsidP="006A3A1C">
      <w:pPr>
        <w:pStyle w:val="ListParagraph"/>
        <w:numPr>
          <w:ilvl w:val="0"/>
          <w:numId w:val="43"/>
        </w:numPr>
        <w:rPr>
          <w:lang w:val="en-GB" w:eastAsia="zh-CN"/>
        </w:rPr>
      </w:pPr>
      <w:r>
        <w:rPr>
          <w:lang w:val="en-GB" w:eastAsia="zh-CN"/>
        </w:rPr>
        <w:t>APP sync</w:t>
      </w:r>
    </w:p>
    <w:p w14:paraId="5F04F328" w14:textId="77777777" w:rsidR="006A3A1C" w:rsidRPr="00DE19F2" w:rsidRDefault="006A3A1C" w:rsidP="006A3A1C">
      <w:pPr>
        <w:pStyle w:val="ListParagraph"/>
        <w:numPr>
          <w:ilvl w:val="0"/>
          <w:numId w:val="43"/>
        </w:numPr>
        <w:rPr>
          <w:lang w:val="en-GB" w:eastAsia="zh-CN"/>
        </w:rPr>
      </w:pPr>
      <w:r w:rsidRPr="00DE19F2">
        <w:rPr>
          <w:lang w:val="en-GB" w:eastAsia="zh-CN"/>
        </w:rPr>
        <w:t>WEB browsing</w:t>
      </w:r>
    </w:p>
    <w:p w14:paraId="5BF11BD9" w14:textId="77777777" w:rsidR="006A3A1C" w:rsidRDefault="006A3A1C" w:rsidP="006A3A1C">
      <w:pPr>
        <w:pStyle w:val="ListParagraph"/>
        <w:numPr>
          <w:ilvl w:val="0"/>
          <w:numId w:val="43"/>
        </w:numPr>
        <w:rPr>
          <w:lang w:val="en-GB" w:eastAsia="zh-CN"/>
        </w:rPr>
      </w:pPr>
      <w:r w:rsidRPr="00DE19F2">
        <w:rPr>
          <w:lang w:val="en-GB" w:eastAsia="zh-CN"/>
        </w:rPr>
        <w:t>Instant messaging</w:t>
      </w:r>
    </w:p>
    <w:p w14:paraId="4BC63743" w14:textId="77777777" w:rsidR="006A3A1C" w:rsidRPr="00DE19F2" w:rsidRDefault="006A3A1C" w:rsidP="006A3A1C">
      <w:pPr>
        <w:pStyle w:val="ListParagraph"/>
        <w:numPr>
          <w:ilvl w:val="0"/>
          <w:numId w:val="43"/>
        </w:numPr>
        <w:rPr>
          <w:lang w:val="en-GB" w:eastAsia="zh-CN"/>
        </w:rPr>
      </w:pPr>
      <w:r>
        <w:rPr>
          <w:lang w:val="en-GB" w:eastAsia="zh-CN"/>
        </w:rPr>
        <w:t>FTP</w:t>
      </w:r>
      <w:r w:rsidRPr="00DE19F2">
        <w:rPr>
          <w:lang w:val="en-GB" w:eastAsia="zh-CN"/>
        </w:rPr>
        <w:tab/>
      </w:r>
    </w:p>
    <w:p w14:paraId="0E42E09B" w14:textId="77777777" w:rsidR="006A3A1C" w:rsidRPr="00DE19F2" w:rsidRDefault="006A3A1C" w:rsidP="006A3A1C">
      <w:pPr>
        <w:pStyle w:val="ListParagraph"/>
        <w:numPr>
          <w:ilvl w:val="0"/>
          <w:numId w:val="43"/>
        </w:numPr>
        <w:rPr>
          <w:lang w:val="en-GB" w:eastAsia="zh-CN"/>
        </w:rPr>
      </w:pPr>
      <w:r w:rsidRPr="00DE19F2">
        <w:rPr>
          <w:lang w:val="en-GB" w:eastAsia="zh-CN"/>
        </w:rPr>
        <w:t>Video streaming</w:t>
      </w:r>
    </w:p>
    <w:p w14:paraId="36AF56ED" w14:textId="77777777" w:rsidR="006A3A1C" w:rsidRDefault="006A3A1C" w:rsidP="006A3A1C">
      <w:pPr>
        <w:pStyle w:val="ListParagraph"/>
        <w:numPr>
          <w:ilvl w:val="0"/>
          <w:numId w:val="43"/>
        </w:numPr>
        <w:rPr>
          <w:lang w:val="en-GB" w:eastAsia="zh-CN"/>
        </w:rPr>
      </w:pPr>
      <w:r>
        <w:rPr>
          <w:lang w:val="en-GB" w:eastAsia="zh-CN"/>
        </w:rPr>
        <w:t>VoIP</w:t>
      </w:r>
    </w:p>
    <w:p w14:paraId="7FA699E9" w14:textId="77777777" w:rsidR="006A3A1C" w:rsidRDefault="006A3A1C" w:rsidP="006A3A1C">
      <w:pPr>
        <w:pStyle w:val="ListParagraph"/>
        <w:numPr>
          <w:ilvl w:val="0"/>
          <w:numId w:val="43"/>
        </w:numPr>
        <w:rPr>
          <w:lang w:val="en-GB" w:eastAsia="zh-CN"/>
        </w:rPr>
      </w:pPr>
      <w:r>
        <w:rPr>
          <w:lang w:val="en-GB" w:eastAsia="zh-CN"/>
        </w:rPr>
        <w:t>Gaming</w:t>
      </w:r>
    </w:p>
    <w:p w14:paraId="58C9E578" w14:textId="6C4AF179" w:rsidR="00250E1B" w:rsidRPr="009F2F0B" w:rsidRDefault="006A3A1C" w:rsidP="006A3A1C">
      <w:pPr>
        <w:rPr>
          <w:lang w:val="en-GB" w:eastAsia="zh-CN"/>
        </w:rPr>
      </w:pPr>
      <w:r>
        <w:rPr>
          <w:lang w:val="en-GB" w:eastAsia="zh-CN"/>
        </w:rPr>
        <w:t>Certain applications generate bursty traffic (e.g. WEB browsing), while others generate a more steady traffic stream (e.g. video streaming). Some applications have a strong latency requirement (e.g. VoIP), while others tolerate long latencies (e.g. APP sync). The UE may have knowledge about the application(s) and thus type of traffic triggering a connection setup</w:t>
      </w:r>
      <w:r w:rsidR="00250E1B">
        <w:rPr>
          <w:lang w:val="en-GB" w:eastAsia="zh-CN"/>
        </w:rPr>
        <w:t xml:space="preserve">. </w:t>
      </w:r>
    </w:p>
    <w:p w14:paraId="77680156" w14:textId="1CDC30E4" w:rsidR="006A3A1C" w:rsidRDefault="006A3A1C" w:rsidP="006A3A1C">
      <w:pPr>
        <w:rPr>
          <w:lang w:val="en-GB" w:eastAsia="zh-CN"/>
        </w:rPr>
      </w:pPr>
      <w:r w:rsidRPr="00850458">
        <w:rPr>
          <w:b/>
          <w:lang w:val="en-GB" w:eastAsia="zh-CN"/>
        </w:rPr>
        <w:lastRenderedPageBreak/>
        <w:t xml:space="preserve">Proposal </w:t>
      </w:r>
      <w:r>
        <w:rPr>
          <w:b/>
          <w:lang w:val="en-GB" w:eastAsia="zh-CN"/>
        </w:rPr>
        <w:t>1</w:t>
      </w:r>
      <w:r>
        <w:rPr>
          <w:lang w:val="en-GB" w:eastAsia="zh-CN"/>
        </w:rPr>
        <w:t xml:space="preserve">: RAN2 to study UE assistance information signalling that can assist the gNB to configure cDRX (e.g. DRX cycle length and inactivity timer) after connection setup. </w:t>
      </w:r>
    </w:p>
    <w:p w14:paraId="6C0831AE" w14:textId="58DB0116" w:rsidR="006A3A1C" w:rsidRPr="00D4441B" w:rsidRDefault="006A3A1C" w:rsidP="006A3A1C">
      <w:pPr>
        <w:rPr>
          <w:lang w:val="en-GB" w:eastAsia="zh-CN"/>
        </w:rPr>
      </w:pPr>
      <w:r>
        <w:rPr>
          <w:lang w:val="en-GB" w:eastAsia="zh-CN"/>
        </w:rPr>
        <w:t xml:space="preserve">In REL-15 the UE can indicate preferred adjustments to the cDRX cycle length via </w:t>
      </w:r>
      <w:proofErr w:type="spellStart"/>
      <w:r w:rsidRPr="00EC66B4">
        <w:rPr>
          <w:i/>
        </w:rPr>
        <w:t>DelayBudgetRepor</w:t>
      </w:r>
      <w:r>
        <w:rPr>
          <w:i/>
        </w:rPr>
        <w:t>ting</w:t>
      </w:r>
      <w:proofErr w:type="spellEnd"/>
      <w:r w:rsidR="000B6B18">
        <w:t>, i.e. request a longer or shorter cDRX cycle length</w:t>
      </w:r>
      <w:r>
        <w:rPr>
          <w:i/>
        </w:rPr>
        <w:t xml:space="preserve">. </w:t>
      </w:r>
      <w:r>
        <w:t xml:space="preserve">This functionality is connected to voice services, and dynamic adjustments to varying delays. This proposal is not limited to voice, and not necessarily connected with dynamic updates, but assumed to be more semi-static signalling. </w:t>
      </w:r>
    </w:p>
    <w:p w14:paraId="1166E0B7" w14:textId="4381B072" w:rsidR="006A3A1C" w:rsidRDefault="006A3A1C" w:rsidP="006A3A1C">
      <w:pPr>
        <w:rPr>
          <w:lang w:val="en-GB" w:eastAsia="zh-CN"/>
        </w:rPr>
      </w:pPr>
      <w:r>
        <w:rPr>
          <w:lang w:val="en-GB" w:eastAsia="zh-CN"/>
        </w:rPr>
        <w:t xml:space="preserve">This UE assistance information does not necessarily imply an explicit preferred DRX cycle length, but also delay tolerance signalling can be considered. </w:t>
      </w:r>
      <w:r w:rsidR="0092783C">
        <w:rPr>
          <w:lang w:val="en-GB" w:eastAsia="zh-CN"/>
        </w:rPr>
        <w:t xml:space="preserve">Without the knowledge of the </w:t>
      </w:r>
      <w:r w:rsidR="006E1DC9">
        <w:rPr>
          <w:lang w:val="en-GB" w:eastAsia="zh-CN"/>
        </w:rPr>
        <w:t>traffic type, and tolerated latency, the gNB may configure a conservative, i.e. “short” cDRX cycle in the UE. In case the gNB knows what latency the UE can tolerate, it may configure a longer cDRX cycle</w:t>
      </w:r>
      <w:r>
        <w:rPr>
          <w:lang w:val="en-GB" w:eastAsia="zh-CN"/>
        </w:rPr>
        <w:t xml:space="preserve">. </w:t>
      </w:r>
    </w:p>
    <w:p w14:paraId="32C793BD" w14:textId="77777777" w:rsidR="006A3A1C" w:rsidRDefault="006A3A1C" w:rsidP="006A3A1C">
      <w:pPr>
        <w:rPr>
          <w:lang w:val="en-GB" w:eastAsia="zh-CN"/>
        </w:rPr>
      </w:pPr>
      <w:r>
        <w:rPr>
          <w:lang w:val="en-GB" w:eastAsia="zh-CN"/>
        </w:rPr>
        <w:t xml:space="preserve">The </w:t>
      </w:r>
      <w:r w:rsidRPr="00F614D7">
        <w:rPr>
          <w:i/>
          <w:lang w:val="en-GB" w:eastAsia="zh-CN"/>
        </w:rPr>
        <w:t>OnDuration</w:t>
      </w:r>
      <w:r>
        <w:rPr>
          <w:lang w:val="en-GB" w:eastAsia="zh-CN"/>
        </w:rPr>
        <w:t xml:space="preserve"> timer length is important from a gNB scheduling perspective, i.e. it provides needed scheduling flexibility to the gNB to reach one or more of the UE’s listening during the </w:t>
      </w:r>
      <w:r w:rsidRPr="005E03D3">
        <w:rPr>
          <w:i/>
          <w:lang w:val="en-GB" w:eastAsia="zh-CN"/>
        </w:rPr>
        <w:t>OnDuration</w:t>
      </w:r>
      <w:r>
        <w:rPr>
          <w:lang w:val="en-GB" w:eastAsia="zh-CN"/>
        </w:rPr>
        <w:t xml:space="preserve">. It is clear from the NW side, that the UE prefers a short </w:t>
      </w:r>
      <w:r w:rsidRPr="00F614D7">
        <w:rPr>
          <w:i/>
          <w:lang w:val="en-GB" w:eastAsia="zh-CN"/>
        </w:rPr>
        <w:t>OnDuration</w:t>
      </w:r>
      <w:r>
        <w:rPr>
          <w:lang w:val="en-GB" w:eastAsia="zh-CN"/>
        </w:rPr>
        <w:t xml:space="preserve"> time from a power saving perspective: </w:t>
      </w:r>
    </w:p>
    <w:p w14:paraId="2D7B8989" w14:textId="7961CCA0" w:rsidR="006A3A1C" w:rsidRDefault="006A3A1C" w:rsidP="006A3A1C">
      <w:pPr>
        <w:rPr>
          <w:lang w:val="en-GB" w:eastAsia="zh-CN"/>
        </w:rPr>
      </w:pPr>
      <w:r>
        <w:rPr>
          <w:b/>
          <w:lang w:val="en-GB" w:eastAsia="zh-CN"/>
        </w:rPr>
        <w:t>Observation 1</w:t>
      </w:r>
      <w:r>
        <w:rPr>
          <w:lang w:val="en-GB" w:eastAsia="zh-CN"/>
        </w:rPr>
        <w:t xml:space="preserve">: There is no need for the UE to signal the preference for a (short) </w:t>
      </w:r>
      <w:r w:rsidRPr="00F35DC1">
        <w:rPr>
          <w:i/>
          <w:lang w:val="en-GB" w:eastAsia="zh-CN"/>
        </w:rPr>
        <w:t>OnDuration</w:t>
      </w:r>
      <w:r>
        <w:rPr>
          <w:lang w:val="en-GB" w:eastAsia="zh-CN"/>
        </w:rPr>
        <w:t xml:space="preserve">. </w:t>
      </w:r>
    </w:p>
    <w:p w14:paraId="7758185E" w14:textId="77777777" w:rsidR="006A3A1C" w:rsidRDefault="006A3A1C" w:rsidP="006A3A1C">
      <w:pPr>
        <w:rPr>
          <w:lang w:val="en-GB" w:eastAsia="zh-CN"/>
        </w:rPr>
      </w:pPr>
      <w:r>
        <w:rPr>
          <w:lang w:val="en-GB" w:eastAsia="zh-CN"/>
        </w:rPr>
        <w:t xml:space="preserve">cDRX is typically already configured in MSG4, i.e. UE assistance information requires </w:t>
      </w:r>
      <w:r w:rsidRPr="00667942">
        <w:rPr>
          <w:i/>
          <w:lang w:val="en-GB" w:eastAsia="zh-CN"/>
        </w:rPr>
        <w:t>RRCReconfiguration</w:t>
      </w:r>
      <w:r>
        <w:rPr>
          <w:lang w:val="en-GB" w:eastAsia="zh-CN"/>
        </w:rPr>
        <w:t xml:space="preserve">. In case the gNB can store and retrieve a UE (traffic) profile from the AMF after MSG3, as discussed for UE differentiation [32,33], then optimal cDRX configuration can already be enabled in </w:t>
      </w:r>
      <w:proofErr w:type="spellStart"/>
      <w:r w:rsidRPr="007924F8">
        <w:rPr>
          <w:i/>
          <w:lang w:val="en-GB" w:eastAsia="zh-CN"/>
        </w:rPr>
        <w:t>RRCResumeRequest</w:t>
      </w:r>
      <w:proofErr w:type="spellEnd"/>
      <w:r>
        <w:rPr>
          <w:lang w:val="en-GB" w:eastAsia="zh-CN"/>
        </w:rPr>
        <w:t xml:space="preserve">, and </w:t>
      </w:r>
      <w:r w:rsidRPr="007924F8">
        <w:rPr>
          <w:i/>
          <w:lang w:val="en-GB" w:eastAsia="zh-CN"/>
        </w:rPr>
        <w:t>RRCReconfiguration</w:t>
      </w:r>
      <w:r>
        <w:rPr>
          <w:lang w:val="en-GB" w:eastAsia="zh-CN"/>
        </w:rPr>
        <w:t xml:space="preserve"> may not be required: </w:t>
      </w:r>
    </w:p>
    <w:p w14:paraId="09ABD8EB" w14:textId="275D450B" w:rsidR="006A3A1C" w:rsidRDefault="006A3A1C" w:rsidP="006A3A1C">
      <w:pPr>
        <w:rPr>
          <w:lang w:val="en-GB" w:eastAsia="zh-CN"/>
        </w:rPr>
      </w:pPr>
      <w:r w:rsidRPr="00F47011">
        <w:rPr>
          <w:b/>
          <w:lang w:val="en-GB" w:eastAsia="zh-CN"/>
        </w:rPr>
        <w:t xml:space="preserve">Proposal </w:t>
      </w:r>
      <w:r>
        <w:rPr>
          <w:b/>
          <w:lang w:val="en-GB" w:eastAsia="zh-CN"/>
        </w:rPr>
        <w:t>2</w:t>
      </w:r>
      <w:r>
        <w:rPr>
          <w:lang w:val="en-GB" w:eastAsia="zh-CN"/>
        </w:rPr>
        <w:t xml:space="preserve">: RAN2 to study UE differentiation to enable optimal cDRX configuration already in </w:t>
      </w:r>
      <w:proofErr w:type="spellStart"/>
      <w:r w:rsidRPr="007924F8">
        <w:rPr>
          <w:i/>
          <w:lang w:val="en-GB" w:eastAsia="zh-CN"/>
        </w:rPr>
        <w:t>RRCResumeRequest</w:t>
      </w:r>
      <w:proofErr w:type="spellEnd"/>
      <w:r>
        <w:rPr>
          <w:lang w:val="en-GB" w:eastAsia="zh-CN"/>
        </w:rPr>
        <w:t>.</w:t>
      </w:r>
    </w:p>
    <w:p w14:paraId="5E650D32" w14:textId="77777777" w:rsidR="009D725A" w:rsidRDefault="009D725A" w:rsidP="009D725A">
      <w:pPr>
        <w:pStyle w:val="Heading1"/>
        <w:jc w:val="both"/>
      </w:pPr>
      <w:bookmarkStart w:id="2" w:name="_Toc242573360"/>
      <w:r>
        <w:t>Summary</w:t>
      </w:r>
      <w:bookmarkEnd w:id="2"/>
    </w:p>
    <w:p w14:paraId="65B81F03" w14:textId="49788887" w:rsidR="001659F2" w:rsidRDefault="001659F2" w:rsidP="001659F2">
      <w:bookmarkStart w:id="3" w:name="_Toc242573361"/>
      <w:r>
        <w:t xml:space="preserve">RAN2 is kindly asked to </w:t>
      </w:r>
      <w:r w:rsidR="00910638">
        <w:t xml:space="preserve">discuss </w:t>
      </w:r>
      <w:r w:rsidR="00683E79" w:rsidRPr="00683E79">
        <w:t>UE assistance information for cDRX</w:t>
      </w:r>
      <w:r>
        <w:t xml:space="preserve">: </w:t>
      </w:r>
    </w:p>
    <w:p w14:paraId="0B0ACD0F" w14:textId="77777777" w:rsidR="00582149" w:rsidRDefault="00582149" w:rsidP="00582149">
      <w:pPr>
        <w:rPr>
          <w:lang w:val="en-GB" w:eastAsia="zh-CN"/>
        </w:rPr>
      </w:pPr>
      <w:r w:rsidRPr="00850458">
        <w:rPr>
          <w:b/>
          <w:lang w:val="en-GB" w:eastAsia="zh-CN"/>
        </w:rPr>
        <w:t xml:space="preserve">Proposal </w:t>
      </w:r>
      <w:r>
        <w:rPr>
          <w:b/>
          <w:lang w:val="en-GB" w:eastAsia="zh-CN"/>
        </w:rPr>
        <w:t>1</w:t>
      </w:r>
      <w:r>
        <w:rPr>
          <w:lang w:val="en-GB" w:eastAsia="zh-CN"/>
        </w:rPr>
        <w:t xml:space="preserve">: RAN2 to study UE assistance information signalling that can assist the gNB to configure cDRX (e.g. DRX cycle length and inactivity timer) after connection setup. </w:t>
      </w:r>
    </w:p>
    <w:p w14:paraId="4EE7CDD9" w14:textId="77777777" w:rsidR="00582149" w:rsidRDefault="00582149" w:rsidP="00582149">
      <w:pPr>
        <w:rPr>
          <w:lang w:val="en-GB" w:eastAsia="zh-CN"/>
        </w:rPr>
      </w:pPr>
      <w:bookmarkStart w:id="4" w:name="_GoBack"/>
      <w:bookmarkEnd w:id="4"/>
      <w:r>
        <w:rPr>
          <w:b/>
          <w:lang w:val="en-GB" w:eastAsia="zh-CN"/>
        </w:rPr>
        <w:t>Observation 1</w:t>
      </w:r>
      <w:r>
        <w:rPr>
          <w:lang w:val="en-GB" w:eastAsia="zh-CN"/>
        </w:rPr>
        <w:t xml:space="preserve">: There is no need for the UE to signal the preference for a (short) </w:t>
      </w:r>
      <w:r w:rsidRPr="00F35DC1">
        <w:rPr>
          <w:i/>
          <w:lang w:val="en-GB" w:eastAsia="zh-CN"/>
        </w:rPr>
        <w:t>OnDuration</w:t>
      </w:r>
      <w:r>
        <w:rPr>
          <w:lang w:val="en-GB" w:eastAsia="zh-CN"/>
        </w:rPr>
        <w:t xml:space="preserve">. </w:t>
      </w:r>
    </w:p>
    <w:p w14:paraId="3E9E624A" w14:textId="77777777" w:rsidR="00582149" w:rsidRDefault="00582149" w:rsidP="00582149">
      <w:pPr>
        <w:rPr>
          <w:lang w:val="en-GB" w:eastAsia="zh-CN"/>
        </w:rPr>
      </w:pPr>
      <w:r w:rsidRPr="00F47011">
        <w:rPr>
          <w:b/>
          <w:lang w:val="en-GB" w:eastAsia="zh-CN"/>
        </w:rPr>
        <w:t xml:space="preserve">Proposal </w:t>
      </w:r>
      <w:r>
        <w:rPr>
          <w:b/>
          <w:lang w:val="en-GB" w:eastAsia="zh-CN"/>
        </w:rPr>
        <w:t>2</w:t>
      </w:r>
      <w:r>
        <w:rPr>
          <w:lang w:val="en-GB" w:eastAsia="zh-CN"/>
        </w:rPr>
        <w:t xml:space="preserve">: RAN2 to study UE differentiation to enable optimal cDRX configuration already in </w:t>
      </w:r>
      <w:proofErr w:type="spellStart"/>
      <w:r w:rsidRPr="007924F8">
        <w:rPr>
          <w:i/>
          <w:lang w:val="en-GB" w:eastAsia="zh-CN"/>
        </w:rPr>
        <w:t>RRCResumeRequest</w:t>
      </w:r>
      <w:proofErr w:type="spellEnd"/>
      <w:r>
        <w:rPr>
          <w:lang w:val="en-GB" w:eastAsia="zh-CN"/>
        </w:rPr>
        <w:t>.</w:t>
      </w:r>
    </w:p>
    <w:p w14:paraId="5A15FD36" w14:textId="77777777" w:rsidR="009D725A" w:rsidRDefault="009D725A" w:rsidP="009D725A">
      <w:pPr>
        <w:pStyle w:val="Heading1"/>
        <w:rPr>
          <w:noProof/>
        </w:rPr>
      </w:pPr>
      <w:r>
        <w:rPr>
          <w:noProof/>
        </w:rPr>
        <w:t>References</w:t>
      </w:r>
      <w:bookmarkEnd w:id="3"/>
    </w:p>
    <w:p w14:paraId="549248B2" w14:textId="3167B41B" w:rsidR="00CD3581" w:rsidRPr="00CD3581" w:rsidRDefault="00582149" w:rsidP="00683E79">
      <w:pPr>
        <w:pStyle w:val="Doc-title"/>
        <w:numPr>
          <w:ilvl w:val="0"/>
          <w:numId w:val="1"/>
        </w:numPr>
        <w:spacing w:before="60" w:after="60"/>
        <w:rPr>
          <w:sz w:val="16"/>
          <w:szCs w:val="16"/>
        </w:rPr>
      </w:pPr>
      <w:hyperlink r:id="rId8" w:history="1">
        <w:r w:rsidR="006A3A1C" w:rsidRPr="00CD3581">
          <w:rPr>
            <w:rStyle w:val="Hyperlink"/>
            <w:sz w:val="16"/>
            <w:szCs w:val="16"/>
          </w:rPr>
          <w:t>R2-1903128</w:t>
        </w:r>
      </w:hyperlink>
      <w:r w:rsidR="00CD3581">
        <w:rPr>
          <w:sz w:val="16"/>
          <w:szCs w:val="16"/>
        </w:rPr>
        <w:t xml:space="preserve">, </w:t>
      </w:r>
      <w:r w:rsidR="006A3A1C" w:rsidRPr="00CD3581">
        <w:rPr>
          <w:i/>
          <w:sz w:val="16"/>
          <w:szCs w:val="16"/>
        </w:rPr>
        <w:t>UE assistance information</w:t>
      </w:r>
      <w:r w:rsidR="006A3A1C" w:rsidRPr="00CD3581">
        <w:rPr>
          <w:sz w:val="16"/>
          <w:szCs w:val="16"/>
        </w:rPr>
        <w:t>, CATT, DISC</w:t>
      </w:r>
      <w:r w:rsidR="00CD3581">
        <w:rPr>
          <w:sz w:val="16"/>
          <w:szCs w:val="16"/>
        </w:rPr>
        <w:t>, RAN2#105bis</w:t>
      </w:r>
    </w:p>
    <w:p w14:paraId="214851B6" w14:textId="727548E5" w:rsidR="00D311AD" w:rsidRPr="00CD3581" w:rsidRDefault="00582149" w:rsidP="00683E79">
      <w:pPr>
        <w:pStyle w:val="Doc-title"/>
        <w:numPr>
          <w:ilvl w:val="0"/>
          <w:numId w:val="1"/>
        </w:numPr>
        <w:spacing w:before="60" w:after="60"/>
        <w:rPr>
          <w:sz w:val="16"/>
          <w:szCs w:val="16"/>
        </w:rPr>
      </w:pPr>
      <w:hyperlink r:id="rId9" w:history="1">
        <w:r w:rsidR="006A3A1C" w:rsidRPr="00CD3581">
          <w:rPr>
            <w:rStyle w:val="Hyperlink"/>
            <w:sz w:val="16"/>
            <w:szCs w:val="16"/>
          </w:rPr>
          <w:t>R2-1903926</w:t>
        </w:r>
      </w:hyperlink>
      <w:r w:rsidR="00CD3581">
        <w:rPr>
          <w:sz w:val="16"/>
          <w:szCs w:val="16"/>
        </w:rPr>
        <w:t xml:space="preserve">. </w:t>
      </w:r>
      <w:r w:rsidR="006A3A1C" w:rsidRPr="00CD3581">
        <w:rPr>
          <w:i/>
          <w:sz w:val="16"/>
          <w:szCs w:val="16"/>
        </w:rPr>
        <w:t>Discussions on UE assistance information</w:t>
      </w:r>
      <w:r w:rsidR="006A3A1C" w:rsidRPr="00CD3581">
        <w:rPr>
          <w:sz w:val="16"/>
          <w:szCs w:val="16"/>
        </w:rPr>
        <w:t>, Xiaomi, DISC</w:t>
      </w:r>
      <w:r w:rsidR="00CD3581">
        <w:rPr>
          <w:sz w:val="16"/>
          <w:szCs w:val="16"/>
        </w:rPr>
        <w:t>, RAN2#105bis</w:t>
      </w:r>
    </w:p>
    <w:p w14:paraId="4A8EE984" w14:textId="77777777" w:rsidR="00682662" w:rsidRPr="00CD3581" w:rsidRDefault="00682662" w:rsidP="00682662">
      <w:pPr>
        <w:tabs>
          <w:tab w:val="num" w:pos="993"/>
        </w:tabs>
        <w:overflowPunct w:val="0"/>
        <w:autoSpaceDE w:val="0"/>
        <w:autoSpaceDN w:val="0"/>
        <w:adjustRightInd w:val="0"/>
        <w:spacing w:after="180"/>
        <w:textAlignment w:val="baseline"/>
        <w:rPr>
          <w:rFonts w:cs="Arial"/>
          <w:sz w:val="16"/>
          <w:szCs w:val="16"/>
          <w:lang w:val="de-DE"/>
        </w:rPr>
      </w:pPr>
    </w:p>
    <w:sectPr w:rsidR="00682662" w:rsidRPr="00CD3581"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5D617B"/>
    <w:multiLevelType w:val="hybridMultilevel"/>
    <w:tmpl w:val="CD967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875A7A"/>
    <w:multiLevelType w:val="hybridMultilevel"/>
    <w:tmpl w:val="9BC45630"/>
    <w:lvl w:ilvl="0" w:tplc="E4F41F46">
      <w:start w:val="1"/>
      <w:numFmt w:val="bullet"/>
      <w:lvlText w:val="—"/>
      <w:lvlJc w:val="left"/>
      <w:pPr>
        <w:tabs>
          <w:tab w:val="num" w:pos="720"/>
        </w:tabs>
        <w:ind w:left="720" w:hanging="360"/>
      </w:pPr>
      <w:rPr>
        <w:rFonts w:ascii="Ericsson Hilda Light" w:hAnsi="Ericsson Hilda Light" w:hint="default"/>
      </w:rPr>
    </w:lvl>
    <w:lvl w:ilvl="1" w:tplc="07FCAFB4">
      <w:start w:val="1"/>
      <w:numFmt w:val="bullet"/>
      <w:lvlText w:val="—"/>
      <w:lvlJc w:val="left"/>
      <w:pPr>
        <w:tabs>
          <w:tab w:val="num" w:pos="1440"/>
        </w:tabs>
        <w:ind w:left="1440" w:hanging="360"/>
      </w:pPr>
      <w:rPr>
        <w:rFonts w:ascii="Ericsson Hilda Light" w:hAnsi="Ericsson Hilda Light" w:hint="default"/>
      </w:rPr>
    </w:lvl>
    <w:lvl w:ilvl="2" w:tplc="FD9C1532" w:tentative="1">
      <w:start w:val="1"/>
      <w:numFmt w:val="bullet"/>
      <w:lvlText w:val="—"/>
      <w:lvlJc w:val="left"/>
      <w:pPr>
        <w:tabs>
          <w:tab w:val="num" w:pos="2160"/>
        </w:tabs>
        <w:ind w:left="2160" w:hanging="360"/>
      </w:pPr>
      <w:rPr>
        <w:rFonts w:ascii="Ericsson Hilda Light" w:hAnsi="Ericsson Hilda Light" w:hint="default"/>
      </w:rPr>
    </w:lvl>
    <w:lvl w:ilvl="3" w:tplc="7390D7FA" w:tentative="1">
      <w:start w:val="1"/>
      <w:numFmt w:val="bullet"/>
      <w:lvlText w:val="—"/>
      <w:lvlJc w:val="left"/>
      <w:pPr>
        <w:tabs>
          <w:tab w:val="num" w:pos="2880"/>
        </w:tabs>
        <w:ind w:left="2880" w:hanging="360"/>
      </w:pPr>
      <w:rPr>
        <w:rFonts w:ascii="Ericsson Hilda Light" w:hAnsi="Ericsson Hilda Light" w:hint="default"/>
      </w:rPr>
    </w:lvl>
    <w:lvl w:ilvl="4" w:tplc="1D826A1C" w:tentative="1">
      <w:start w:val="1"/>
      <w:numFmt w:val="bullet"/>
      <w:lvlText w:val="—"/>
      <w:lvlJc w:val="left"/>
      <w:pPr>
        <w:tabs>
          <w:tab w:val="num" w:pos="3600"/>
        </w:tabs>
        <w:ind w:left="3600" w:hanging="360"/>
      </w:pPr>
      <w:rPr>
        <w:rFonts w:ascii="Ericsson Hilda Light" w:hAnsi="Ericsson Hilda Light" w:hint="default"/>
      </w:rPr>
    </w:lvl>
    <w:lvl w:ilvl="5" w:tplc="115E8FF6" w:tentative="1">
      <w:start w:val="1"/>
      <w:numFmt w:val="bullet"/>
      <w:lvlText w:val="—"/>
      <w:lvlJc w:val="left"/>
      <w:pPr>
        <w:tabs>
          <w:tab w:val="num" w:pos="4320"/>
        </w:tabs>
        <w:ind w:left="4320" w:hanging="360"/>
      </w:pPr>
      <w:rPr>
        <w:rFonts w:ascii="Ericsson Hilda Light" w:hAnsi="Ericsson Hilda Light" w:hint="default"/>
      </w:rPr>
    </w:lvl>
    <w:lvl w:ilvl="6" w:tplc="3438ADA4" w:tentative="1">
      <w:start w:val="1"/>
      <w:numFmt w:val="bullet"/>
      <w:lvlText w:val="—"/>
      <w:lvlJc w:val="left"/>
      <w:pPr>
        <w:tabs>
          <w:tab w:val="num" w:pos="5040"/>
        </w:tabs>
        <w:ind w:left="5040" w:hanging="360"/>
      </w:pPr>
      <w:rPr>
        <w:rFonts w:ascii="Ericsson Hilda Light" w:hAnsi="Ericsson Hilda Light" w:hint="default"/>
      </w:rPr>
    </w:lvl>
    <w:lvl w:ilvl="7" w:tplc="0262EA48" w:tentative="1">
      <w:start w:val="1"/>
      <w:numFmt w:val="bullet"/>
      <w:lvlText w:val="—"/>
      <w:lvlJc w:val="left"/>
      <w:pPr>
        <w:tabs>
          <w:tab w:val="num" w:pos="5760"/>
        </w:tabs>
        <w:ind w:left="5760" w:hanging="360"/>
      </w:pPr>
      <w:rPr>
        <w:rFonts w:ascii="Ericsson Hilda Light" w:hAnsi="Ericsson Hilda Light" w:hint="default"/>
      </w:rPr>
    </w:lvl>
    <w:lvl w:ilvl="8" w:tplc="6B2AA586"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4AF84089"/>
    <w:multiLevelType w:val="hybridMultilevel"/>
    <w:tmpl w:val="2BDE5A78"/>
    <w:lvl w:ilvl="0" w:tplc="14462778">
      <w:start w:val="1"/>
      <w:numFmt w:val="bullet"/>
      <w:lvlText w:val="›"/>
      <w:lvlJc w:val="left"/>
      <w:pPr>
        <w:tabs>
          <w:tab w:val="num" w:pos="720"/>
        </w:tabs>
        <w:ind w:left="720" w:hanging="360"/>
      </w:pPr>
      <w:rPr>
        <w:rFonts w:ascii="Arial" w:hAnsi="Arial" w:hint="default"/>
      </w:rPr>
    </w:lvl>
    <w:lvl w:ilvl="1" w:tplc="69C882A4">
      <w:start w:val="110"/>
      <w:numFmt w:val="bullet"/>
      <w:lvlText w:val="–"/>
      <w:lvlJc w:val="left"/>
      <w:pPr>
        <w:tabs>
          <w:tab w:val="num" w:pos="1440"/>
        </w:tabs>
        <w:ind w:left="1440" w:hanging="360"/>
      </w:pPr>
      <w:rPr>
        <w:rFonts w:ascii="Ericsson Capital TT" w:hAnsi="Ericsson Capital TT" w:hint="default"/>
      </w:rPr>
    </w:lvl>
    <w:lvl w:ilvl="2" w:tplc="5B36921A" w:tentative="1">
      <w:start w:val="1"/>
      <w:numFmt w:val="bullet"/>
      <w:lvlText w:val="›"/>
      <w:lvlJc w:val="left"/>
      <w:pPr>
        <w:tabs>
          <w:tab w:val="num" w:pos="2160"/>
        </w:tabs>
        <w:ind w:left="2160" w:hanging="360"/>
      </w:pPr>
      <w:rPr>
        <w:rFonts w:ascii="Arial" w:hAnsi="Arial" w:hint="default"/>
      </w:rPr>
    </w:lvl>
    <w:lvl w:ilvl="3" w:tplc="5DF63238" w:tentative="1">
      <w:start w:val="1"/>
      <w:numFmt w:val="bullet"/>
      <w:lvlText w:val="›"/>
      <w:lvlJc w:val="left"/>
      <w:pPr>
        <w:tabs>
          <w:tab w:val="num" w:pos="2880"/>
        </w:tabs>
        <w:ind w:left="2880" w:hanging="360"/>
      </w:pPr>
      <w:rPr>
        <w:rFonts w:ascii="Arial" w:hAnsi="Arial" w:hint="default"/>
      </w:rPr>
    </w:lvl>
    <w:lvl w:ilvl="4" w:tplc="E2DE13A0" w:tentative="1">
      <w:start w:val="1"/>
      <w:numFmt w:val="bullet"/>
      <w:lvlText w:val="›"/>
      <w:lvlJc w:val="left"/>
      <w:pPr>
        <w:tabs>
          <w:tab w:val="num" w:pos="3600"/>
        </w:tabs>
        <w:ind w:left="3600" w:hanging="360"/>
      </w:pPr>
      <w:rPr>
        <w:rFonts w:ascii="Arial" w:hAnsi="Arial" w:hint="default"/>
      </w:rPr>
    </w:lvl>
    <w:lvl w:ilvl="5" w:tplc="45DEAA6E" w:tentative="1">
      <w:start w:val="1"/>
      <w:numFmt w:val="bullet"/>
      <w:lvlText w:val="›"/>
      <w:lvlJc w:val="left"/>
      <w:pPr>
        <w:tabs>
          <w:tab w:val="num" w:pos="4320"/>
        </w:tabs>
        <w:ind w:left="4320" w:hanging="360"/>
      </w:pPr>
      <w:rPr>
        <w:rFonts w:ascii="Arial" w:hAnsi="Arial" w:hint="default"/>
      </w:rPr>
    </w:lvl>
    <w:lvl w:ilvl="6" w:tplc="D276AC10" w:tentative="1">
      <w:start w:val="1"/>
      <w:numFmt w:val="bullet"/>
      <w:lvlText w:val="›"/>
      <w:lvlJc w:val="left"/>
      <w:pPr>
        <w:tabs>
          <w:tab w:val="num" w:pos="5040"/>
        </w:tabs>
        <w:ind w:left="5040" w:hanging="360"/>
      </w:pPr>
      <w:rPr>
        <w:rFonts w:ascii="Arial" w:hAnsi="Arial" w:hint="default"/>
      </w:rPr>
    </w:lvl>
    <w:lvl w:ilvl="7" w:tplc="58ECA9A2" w:tentative="1">
      <w:start w:val="1"/>
      <w:numFmt w:val="bullet"/>
      <w:lvlText w:val="›"/>
      <w:lvlJc w:val="left"/>
      <w:pPr>
        <w:tabs>
          <w:tab w:val="num" w:pos="5760"/>
        </w:tabs>
        <w:ind w:left="5760" w:hanging="360"/>
      </w:pPr>
      <w:rPr>
        <w:rFonts w:ascii="Arial" w:hAnsi="Arial" w:hint="default"/>
      </w:rPr>
    </w:lvl>
    <w:lvl w:ilvl="8" w:tplc="29B8E1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96427D"/>
    <w:multiLevelType w:val="hybridMultilevel"/>
    <w:tmpl w:val="D9F2DBC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6"/>
  </w:num>
  <w:num w:numId="3">
    <w:abstractNumId w:val="18"/>
  </w:num>
  <w:num w:numId="4">
    <w:abstractNumId w:val="11"/>
  </w:num>
  <w:num w:numId="5">
    <w:abstractNumId w:val="37"/>
  </w:num>
  <w:num w:numId="6">
    <w:abstractNumId w:val="21"/>
  </w:num>
  <w:num w:numId="7">
    <w:abstractNumId w:val="34"/>
  </w:num>
  <w:num w:numId="8">
    <w:abstractNumId w:val="39"/>
  </w:num>
  <w:num w:numId="9">
    <w:abstractNumId w:val="13"/>
  </w:num>
  <w:num w:numId="10">
    <w:abstractNumId w:val="20"/>
  </w:num>
  <w:num w:numId="11">
    <w:abstractNumId w:val="17"/>
  </w:num>
  <w:num w:numId="12">
    <w:abstractNumId w:val="43"/>
  </w:num>
  <w:num w:numId="13">
    <w:abstractNumId w:val="14"/>
  </w:num>
  <w:num w:numId="14">
    <w:abstractNumId w:val="22"/>
  </w:num>
  <w:num w:numId="15">
    <w:abstractNumId w:val="38"/>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40"/>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2"/>
  </w:num>
  <w:num w:numId="40">
    <w:abstractNumId w:val="35"/>
  </w:num>
  <w:num w:numId="41">
    <w:abstractNumId w:val="32"/>
  </w:num>
  <w:num w:numId="42">
    <w:abstractNumId w:val="33"/>
  </w:num>
  <w:num w:numId="43">
    <w:abstractNumId w:val="15"/>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638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61A"/>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B6B18"/>
    <w:rsid w:val="000C0661"/>
    <w:rsid w:val="000C2CCE"/>
    <w:rsid w:val="000C3430"/>
    <w:rsid w:val="000C4330"/>
    <w:rsid w:val="000C6C63"/>
    <w:rsid w:val="000C7BDD"/>
    <w:rsid w:val="000D1253"/>
    <w:rsid w:val="000D2C35"/>
    <w:rsid w:val="000E0E68"/>
    <w:rsid w:val="000E2DC8"/>
    <w:rsid w:val="000E47A9"/>
    <w:rsid w:val="000E6807"/>
    <w:rsid w:val="000F2D1B"/>
    <w:rsid w:val="00104ACF"/>
    <w:rsid w:val="00104B6A"/>
    <w:rsid w:val="00104C28"/>
    <w:rsid w:val="001065E3"/>
    <w:rsid w:val="001069AD"/>
    <w:rsid w:val="00106C7C"/>
    <w:rsid w:val="001119D7"/>
    <w:rsid w:val="00111AA3"/>
    <w:rsid w:val="00111B90"/>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39BF"/>
    <w:rsid w:val="001E6A9C"/>
    <w:rsid w:val="001F13E9"/>
    <w:rsid w:val="001F5CA1"/>
    <w:rsid w:val="002013B3"/>
    <w:rsid w:val="002114D0"/>
    <w:rsid w:val="00211629"/>
    <w:rsid w:val="00212767"/>
    <w:rsid w:val="002129BC"/>
    <w:rsid w:val="00215AB2"/>
    <w:rsid w:val="00217ECC"/>
    <w:rsid w:val="00225E2B"/>
    <w:rsid w:val="0022691E"/>
    <w:rsid w:val="00226C55"/>
    <w:rsid w:val="0023429F"/>
    <w:rsid w:val="00236881"/>
    <w:rsid w:val="00241371"/>
    <w:rsid w:val="00241971"/>
    <w:rsid w:val="00244267"/>
    <w:rsid w:val="002457C5"/>
    <w:rsid w:val="002500A8"/>
    <w:rsid w:val="00250587"/>
    <w:rsid w:val="00250E1B"/>
    <w:rsid w:val="00260EC7"/>
    <w:rsid w:val="002733D0"/>
    <w:rsid w:val="00273C32"/>
    <w:rsid w:val="00274E81"/>
    <w:rsid w:val="00281BCA"/>
    <w:rsid w:val="00283532"/>
    <w:rsid w:val="00283E2E"/>
    <w:rsid w:val="00286831"/>
    <w:rsid w:val="0028711E"/>
    <w:rsid w:val="00290477"/>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783"/>
    <w:rsid w:val="00336C95"/>
    <w:rsid w:val="0034374B"/>
    <w:rsid w:val="00343843"/>
    <w:rsid w:val="00352BFE"/>
    <w:rsid w:val="0035547C"/>
    <w:rsid w:val="00361092"/>
    <w:rsid w:val="003730EF"/>
    <w:rsid w:val="0037552C"/>
    <w:rsid w:val="0037629E"/>
    <w:rsid w:val="0037719E"/>
    <w:rsid w:val="00383177"/>
    <w:rsid w:val="00387975"/>
    <w:rsid w:val="00393247"/>
    <w:rsid w:val="00395015"/>
    <w:rsid w:val="003A5C51"/>
    <w:rsid w:val="003A7362"/>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3D8F"/>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32CE"/>
    <w:rsid w:val="00542513"/>
    <w:rsid w:val="005433FA"/>
    <w:rsid w:val="00545B4A"/>
    <w:rsid w:val="00545B6C"/>
    <w:rsid w:val="00552732"/>
    <w:rsid w:val="00555E44"/>
    <w:rsid w:val="005575FA"/>
    <w:rsid w:val="00560550"/>
    <w:rsid w:val="00564D25"/>
    <w:rsid w:val="00566CF0"/>
    <w:rsid w:val="0057505D"/>
    <w:rsid w:val="00575E8D"/>
    <w:rsid w:val="00582149"/>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07"/>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E79"/>
    <w:rsid w:val="00685EC0"/>
    <w:rsid w:val="00690466"/>
    <w:rsid w:val="00691624"/>
    <w:rsid w:val="00691AA7"/>
    <w:rsid w:val="006A3181"/>
    <w:rsid w:val="006A39AE"/>
    <w:rsid w:val="006A3A1C"/>
    <w:rsid w:val="006A6639"/>
    <w:rsid w:val="006B5B69"/>
    <w:rsid w:val="006B5BD4"/>
    <w:rsid w:val="006B6B15"/>
    <w:rsid w:val="006C20C4"/>
    <w:rsid w:val="006C7C34"/>
    <w:rsid w:val="006D151A"/>
    <w:rsid w:val="006D1813"/>
    <w:rsid w:val="006D5962"/>
    <w:rsid w:val="006E1DC9"/>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108"/>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0E5A"/>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2783C"/>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E5DDF"/>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774D3"/>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976BF"/>
    <w:rsid w:val="00CA1C76"/>
    <w:rsid w:val="00CA280A"/>
    <w:rsid w:val="00CA315B"/>
    <w:rsid w:val="00CB1753"/>
    <w:rsid w:val="00CC00D8"/>
    <w:rsid w:val="00CC1F1A"/>
    <w:rsid w:val="00CC2C63"/>
    <w:rsid w:val="00CC308A"/>
    <w:rsid w:val="00CC5C27"/>
    <w:rsid w:val="00CC6376"/>
    <w:rsid w:val="00CD3581"/>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11AD"/>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76E"/>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133B"/>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756F6"/>
    <w:rsid w:val="00F8408F"/>
    <w:rsid w:val="00F906EF"/>
    <w:rsid w:val="00F9288C"/>
    <w:rsid w:val="00F95DF0"/>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0495"/>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F756F6"/>
    <w:pPr>
      <w:spacing w:before="40" w:after="0"/>
    </w:pPr>
    <w:rPr>
      <w:rFonts w:eastAsia="MS Mincho"/>
      <w:i/>
      <w:noProof/>
      <w:sz w:val="16"/>
      <w:szCs w:val="24"/>
      <w:lang w:val="en-GB" w:eastAsia="en-GB"/>
    </w:rPr>
  </w:style>
  <w:style w:type="character" w:customStyle="1" w:styleId="CommentsChar">
    <w:name w:val="Comments Char"/>
    <w:link w:val="Comments"/>
    <w:rsid w:val="00F756F6"/>
    <w:rPr>
      <w:rFonts w:ascii="Arial" w:eastAsia="MS Mincho" w:hAnsi="Arial"/>
      <w:i/>
      <w:noProof/>
      <w:sz w:val="16"/>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6A3A1C"/>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08574830">
      <w:bodyDiv w:val="1"/>
      <w:marLeft w:val="0"/>
      <w:marRight w:val="0"/>
      <w:marTop w:val="0"/>
      <w:marBottom w:val="0"/>
      <w:divBdr>
        <w:top w:val="none" w:sz="0" w:space="0" w:color="auto"/>
        <w:left w:val="none" w:sz="0" w:space="0" w:color="auto"/>
        <w:bottom w:val="none" w:sz="0" w:space="0" w:color="auto"/>
        <w:right w:val="none" w:sz="0" w:space="0" w:color="auto"/>
      </w:divBdr>
      <w:divsChild>
        <w:div w:id="2087334539">
          <w:marLeft w:val="274"/>
          <w:marRight w:val="0"/>
          <w:marTop w:val="48"/>
          <w:marBottom w:val="0"/>
          <w:divBdr>
            <w:top w:val="none" w:sz="0" w:space="0" w:color="auto"/>
            <w:left w:val="none" w:sz="0" w:space="0" w:color="auto"/>
            <w:bottom w:val="none" w:sz="0" w:space="0" w:color="auto"/>
            <w:right w:val="none" w:sz="0" w:space="0" w:color="auto"/>
          </w:divBdr>
        </w:div>
        <w:div w:id="375935814">
          <w:marLeft w:val="835"/>
          <w:marRight w:val="0"/>
          <w:marTop w:val="43"/>
          <w:marBottom w:val="0"/>
          <w:divBdr>
            <w:top w:val="none" w:sz="0" w:space="0" w:color="auto"/>
            <w:left w:val="none" w:sz="0" w:space="0" w:color="auto"/>
            <w:bottom w:val="none" w:sz="0" w:space="0" w:color="auto"/>
            <w:right w:val="none" w:sz="0" w:space="0" w:color="auto"/>
          </w:divBdr>
        </w:div>
        <w:div w:id="127359668">
          <w:marLeft w:val="835"/>
          <w:marRight w:val="0"/>
          <w:marTop w:val="43"/>
          <w:marBottom w:val="0"/>
          <w:divBdr>
            <w:top w:val="none" w:sz="0" w:space="0" w:color="auto"/>
            <w:left w:val="none" w:sz="0" w:space="0" w:color="auto"/>
            <w:bottom w:val="none" w:sz="0" w:space="0" w:color="auto"/>
            <w:right w:val="none" w:sz="0" w:space="0" w:color="auto"/>
          </w:divBdr>
        </w:div>
        <w:div w:id="1823884627">
          <w:marLeft w:val="835"/>
          <w:marRight w:val="0"/>
          <w:marTop w:val="43"/>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77706219">
      <w:bodyDiv w:val="1"/>
      <w:marLeft w:val="0"/>
      <w:marRight w:val="0"/>
      <w:marTop w:val="0"/>
      <w:marBottom w:val="0"/>
      <w:divBdr>
        <w:top w:val="none" w:sz="0" w:space="0" w:color="auto"/>
        <w:left w:val="none" w:sz="0" w:space="0" w:color="auto"/>
        <w:bottom w:val="none" w:sz="0" w:space="0" w:color="auto"/>
        <w:right w:val="none" w:sz="0" w:space="0" w:color="auto"/>
      </w:divBdr>
      <w:divsChild>
        <w:div w:id="1334721099">
          <w:marLeft w:val="1123"/>
          <w:marRight w:val="0"/>
          <w:marTop w:val="60"/>
          <w:marBottom w:val="0"/>
          <w:divBdr>
            <w:top w:val="none" w:sz="0" w:space="0" w:color="auto"/>
            <w:left w:val="none" w:sz="0" w:space="0" w:color="auto"/>
            <w:bottom w:val="none" w:sz="0" w:space="0" w:color="auto"/>
            <w:right w:val="none" w:sz="0" w:space="0" w:color="auto"/>
          </w:divBdr>
        </w:div>
        <w:div w:id="693463753">
          <w:marLeft w:val="1123"/>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5652894">
      <w:bodyDiv w:val="1"/>
      <w:marLeft w:val="0"/>
      <w:marRight w:val="0"/>
      <w:marTop w:val="0"/>
      <w:marBottom w:val="0"/>
      <w:divBdr>
        <w:top w:val="none" w:sz="0" w:space="0" w:color="auto"/>
        <w:left w:val="none" w:sz="0" w:space="0" w:color="auto"/>
        <w:bottom w:val="none" w:sz="0" w:space="0" w:color="auto"/>
        <w:right w:val="none" w:sz="0" w:space="0" w:color="auto"/>
      </w:divBdr>
      <w:divsChild>
        <w:div w:id="456725287">
          <w:marLeft w:val="1123"/>
          <w:marRight w:val="0"/>
          <w:marTop w:val="60"/>
          <w:marBottom w:val="0"/>
          <w:divBdr>
            <w:top w:val="none" w:sz="0" w:space="0" w:color="auto"/>
            <w:left w:val="none" w:sz="0" w:space="0" w:color="auto"/>
            <w:bottom w:val="none" w:sz="0" w:space="0" w:color="auto"/>
            <w:right w:val="none" w:sz="0" w:space="0" w:color="auto"/>
          </w:divBdr>
        </w:div>
        <w:div w:id="698165536">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3128.zip" TargetMode="External"/><Relationship Id="rId3" Type="http://schemas.openxmlformats.org/officeDocument/2006/relationships/settings" Target="settings.xml"/><Relationship Id="rId7" Type="http://schemas.openxmlformats.org/officeDocument/2006/relationships/hyperlink" Target="http://www.3gpp.org/ftp/tsg_ran/WG2_RL2//TSGR2_105bis/Docs/R2-190414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2_RL2/TSGR2_105bis/Docs/R2-19039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38</cp:revision>
  <cp:lastPrinted>2009-10-21T14:47:00Z</cp:lastPrinted>
  <dcterms:created xsi:type="dcterms:W3CDTF">2019-01-22T06:45:00Z</dcterms:created>
  <dcterms:modified xsi:type="dcterms:W3CDTF">2019-05-03T04:12:00Z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